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2B" w:rsidRDefault="000F387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MỘT SỐ CHÍNH SÁCH CÓ HIỆU LỰC TỪ THÁNG 5</w:t>
      </w:r>
      <w:r>
        <w:rPr>
          <w:rFonts w:ascii="Times New Roman" w:hAnsi="Times New Roman" w:cs="Times New Roman"/>
          <w:b/>
          <w:sz w:val="28"/>
          <w:szCs w:val="28"/>
          <w:lang w:val="en-US"/>
        </w:rPr>
        <w:t>/2024</w:t>
      </w:r>
    </w:p>
    <w:p w:rsidR="009C332B" w:rsidRDefault="000F3877">
      <w:pPr>
        <w:spacing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rPr>
        <w:t>(Kèm theo Công văn số:</w:t>
      </w:r>
      <w:r>
        <w:rPr>
          <w:rFonts w:ascii="Times New Roman" w:hAnsi="Times New Roman" w:cs="Times New Roman"/>
          <w:i/>
          <w:sz w:val="28"/>
          <w:szCs w:val="28"/>
          <w:lang w:val="en-US"/>
        </w:rPr>
        <w:t xml:space="preserve"> 0</w:t>
      </w:r>
      <w:r>
        <w:rPr>
          <w:rFonts w:ascii="Times New Roman" w:hAnsi="Times New Roman" w:cs="Times New Roman"/>
          <w:i/>
          <w:sz w:val="28"/>
          <w:szCs w:val="28"/>
        </w:rPr>
        <w:t>7/PB</w:t>
      </w:r>
      <w:r>
        <w:rPr>
          <w:rFonts w:ascii="Times New Roman" w:hAnsi="Times New Roman" w:cs="Times New Roman"/>
          <w:i/>
          <w:sz w:val="28"/>
          <w:szCs w:val="28"/>
          <w:lang w:val="en-US"/>
        </w:rPr>
        <w:t>GD</w:t>
      </w:r>
      <w:r>
        <w:rPr>
          <w:rFonts w:ascii="Times New Roman" w:hAnsi="Times New Roman" w:cs="Times New Roman"/>
          <w:i/>
          <w:sz w:val="28"/>
          <w:szCs w:val="28"/>
        </w:rPr>
        <w:t xml:space="preserve">PL ngày </w:t>
      </w:r>
      <w:r w:rsidR="0018026B">
        <w:rPr>
          <w:rFonts w:ascii="Times New Roman" w:hAnsi="Times New Roman" w:cs="Times New Roman"/>
          <w:i/>
          <w:sz w:val="28"/>
          <w:szCs w:val="28"/>
          <w:lang w:val="en-US"/>
        </w:rPr>
        <w:t>26</w:t>
      </w:r>
      <w:r>
        <w:rPr>
          <w:rFonts w:ascii="Times New Roman" w:hAnsi="Times New Roman" w:cs="Times New Roman"/>
          <w:i/>
          <w:sz w:val="28"/>
          <w:szCs w:val="28"/>
          <w:lang w:val="en-US"/>
        </w:rPr>
        <w:t>/</w:t>
      </w:r>
      <w:r>
        <w:rPr>
          <w:rFonts w:ascii="Times New Roman" w:hAnsi="Times New Roman" w:cs="Times New Roman"/>
          <w:i/>
          <w:sz w:val="28"/>
          <w:szCs w:val="28"/>
        </w:rPr>
        <w:t>4</w:t>
      </w:r>
      <w:r>
        <w:rPr>
          <w:rFonts w:ascii="Times New Roman" w:hAnsi="Times New Roman" w:cs="Times New Roman"/>
          <w:i/>
          <w:sz w:val="28"/>
          <w:szCs w:val="28"/>
          <w:lang w:val="en-US"/>
        </w:rPr>
        <w:t>/2024</w:t>
      </w:r>
    </w:p>
    <w:p w:rsidR="009C332B" w:rsidRDefault="000F3877">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của Hội đồng PBGDPL thị xã)</w:t>
      </w:r>
    </w:p>
    <w:p w:rsidR="009C332B" w:rsidRDefault="000F3877" w:rsidP="00290CC4">
      <w:pPr>
        <w:spacing w:before="120" w:after="40" w:line="264"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2248535</wp:posOffset>
                </wp:positionH>
                <wp:positionV relativeFrom="paragraph">
                  <wp:posOffset>38735</wp:posOffset>
                </wp:positionV>
                <wp:extent cx="1113155" cy="0"/>
                <wp:effectExtent l="0" t="4445" r="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77.05pt;margin-top:3.05pt;height:0pt;width:87.65pt;z-index:251659264;mso-width-relative:page;mso-height-relative:page;" filled="f" stroked="t" coordsize="21600,21600" o:gfxdata="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awcXrVAAAABwEAAA8AAAAA&#10;AAAAAQAgAAAAIgAAAGRycy9kb3ducmV2LnhtbFBLAQIUABQAAAAIAIdO4kB/rGya3gEAAM8DAAAO&#10;AAAAAAAAAAEAIAAAACQBAABkcnMvZTJvRG9jLnhtbFBLBQYAAAAABgAGAFkBAAB0BQAAAAA=&#10;">
                <v:fill on="f" focussize="0,0"/>
                <v:stroke color="#000000" joinstyle="round"/>
                <v:imagedata o:title=""/>
                <o:lock v:ext="edit" aspectratio="f"/>
              </v:shape>
            </w:pict>
          </mc:Fallback>
        </mc:AlternateConten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ab/>
        <w:t>Trong tháng 5/202</w:t>
      </w:r>
      <w:r w:rsidRPr="00626702">
        <w:rPr>
          <w:rFonts w:ascii="Times New Roman" w:hAnsi="Times New Roman" w:cs="Times New Roman"/>
          <w:sz w:val="28"/>
          <w:szCs w:val="28"/>
        </w:rPr>
        <w:t>4</w:t>
      </w:r>
      <w:r>
        <w:rPr>
          <w:rFonts w:ascii="Times New Roman" w:hAnsi="Times New Roman" w:cs="Times New Roman"/>
          <w:sz w:val="28"/>
          <w:szCs w:val="28"/>
        </w:rPr>
        <w:t xml:space="preserve"> có 10 Nghị định, 07</w:t>
      </w:r>
      <w:r w:rsidRPr="00626702">
        <w:rPr>
          <w:rFonts w:ascii="Times New Roman" w:hAnsi="Times New Roman" w:cs="Times New Roman"/>
          <w:sz w:val="28"/>
          <w:szCs w:val="28"/>
        </w:rPr>
        <w:t xml:space="preserve"> Quyết định, </w:t>
      </w:r>
      <w:r>
        <w:rPr>
          <w:rFonts w:ascii="Times New Roman" w:hAnsi="Times New Roman" w:cs="Times New Roman"/>
          <w:sz w:val="28"/>
          <w:szCs w:val="28"/>
        </w:rPr>
        <w:t>24</w:t>
      </w:r>
      <w:r w:rsidRPr="00626702">
        <w:rPr>
          <w:rFonts w:ascii="Times New Roman" w:hAnsi="Times New Roman" w:cs="Times New Roman"/>
          <w:sz w:val="28"/>
          <w:szCs w:val="28"/>
        </w:rPr>
        <w:t xml:space="preserve"> </w:t>
      </w:r>
      <w:r>
        <w:rPr>
          <w:rFonts w:ascii="Times New Roman" w:hAnsi="Times New Roman" w:cs="Times New Roman"/>
          <w:sz w:val="28"/>
          <w:szCs w:val="28"/>
        </w:rPr>
        <w:t>Thông tư</w:t>
      </w:r>
      <w:r w:rsidRPr="00626702">
        <w:rPr>
          <w:rFonts w:ascii="Times New Roman" w:hAnsi="Times New Roman" w:cs="Times New Roman"/>
          <w:sz w:val="28"/>
          <w:szCs w:val="28"/>
        </w:rPr>
        <w:t xml:space="preserve"> c</w:t>
      </w:r>
      <w:r>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9C332B" w:rsidRPr="0015530D" w:rsidRDefault="0015530D" w:rsidP="00290CC4">
      <w:pPr>
        <w:spacing w:before="120" w:after="40" w:line="264" w:lineRule="auto"/>
        <w:ind w:firstLine="709"/>
        <w:jc w:val="both"/>
        <w:rPr>
          <w:rFonts w:ascii="Times New Roman" w:hAnsi="Times New Roman" w:cs="Times New Roman"/>
          <w:b/>
          <w:sz w:val="28"/>
          <w:szCs w:val="28"/>
        </w:rPr>
      </w:pPr>
      <w:r w:rsidRPr="0015530D">
        <w:rPr>
          <w:rFonts w:ascii="Times New Roman" w:hAnsi="Times New Roman" w:cs="Times New Roman"/>
          <w:b/>
          <w:sz w:val="28"/>
          <w:szCs w:val="28"/>
          <w:lang w:val="en-US"/>
        </w:rPr>
        <w:t xml:space="preserve">1. </w:t>
      </w:r>
      <w:r w:rsidR="000F3877" w:rsidRPr="0015530D">
        <w:rPr>
          <w:rFonts w:ascii="Times New Roman" w:hAnsi="Times New Roman" w:cs="Times New Roman"/>
          <w:b/>
          <w:sz w:val="28"/>
          <w:szCs w:val="28"/>
        </w:rPr>
        <w:t xml:space="preserve">Nghị định số 29/2024/NĐ-CP ngày 06/3/2024 của Chính phủ quy định tiêu chuẩn chức danh công chức lãnh đạo, quản lý trong cơ quan hành chính Nhà nước, có hiệu lực từ ngày 1/5/2024 </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Theo đó, tiêu chuẩn chung áp dụng đối với các chức danh công chức lãnh đạo, quản lý bao gồm: Về chính trị tư tưởng; về đạo đức, lối sống, ý thức tổ chức kỷ luật; về trình độ; về năng lực và uy tín; về sức khỏe, độ tuổi, kinh nghiệm công tác.</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Ngoài ra, một số trường hợp đặc thù áp dụng tiêu chuẩn chức danh khi bổ nhiệm: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Trường hợp người giữ chức vụ, chức danh quy định tại điểm a khoản 1 Điều 2 Nghị định 29/2024/NĐ-CP được bổ nhiệm giữ chức vụ, chức danh tương đương hoặc kiêm nhiệm chức vụ, chức danh khác thì không nhất thiết phải bảo đảm đầy đủ tiêu chuẩn của chức vụ, chức danh tương đương hoặc kiêm nhiệm.</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29/2024/NĐ-CP nhưng không phải đáp ứng ngay tiêu chuẩn về quản lý nhà nước theo quy định của chức vụ, chức danh dự kiến bổ nhiệm. Đối với các trường hợp này phải hoàn thiện tiêu chuẩn trong thời hạn 12 tháng kể từ ngày có quyết định bổ nhiệm.</w:t>
      </w:r>
    </w:p>
    <w:p w:rsidR="00D73E52" w:rsidRPr="00D73E52" w:rsidRDefault="00D73E52" w:rsidP="002F0CB6">
      <w:pPr>
        <w:spacing w:before="60" w:after="0"/>
        <w:ind w:firstLine="709"/>
        <w:jc w:val="both"/>
        <w:rPr>
          <w:rFonts w:ascii="Times New Roman" w:hAnsi="Times New Roman" w:cs="Times New Roman"/>
          <w:b/>
          <w:sz w:val="28"/>
          <w:szCs w:val="28"/>
          <w:lang w:val="en-US"/>
        </w:rPr>
      </w:pPr>
      <w:r w:rsidRPr="00D73E52">
        <w:rPr>
          <w:rFonts w:ascii="Times New Roman" w:hAnsi="Times New Roman" w:cs="Times New Roman"/>
          <w:b/>
          <w:sz w:val="28"/>
          <w:szCs w:val="28"/>
        </w:rPr>
        <w:t xml:space="preserve">2. Nghị định </w:t>
      </w:r>
      <w:r w:rsidRPr="00D73E52">
        <w:rPr>
          <w:rFonts w:ascii="Times New Roman" w:hAnsi="Times New Roman" w:cs="Times New Roman"/>
          <w:b/>
          <w:sz w:val="28"/>
          <w:szCs w:val="28"/>
          <w:lang w:val="en-US"/>
        </w:rPr>
        <w:t xml:space="preserve">số </w:t>
      </w:r>
      <w:r w:rsidRPr="00D73E52">
        <w:rPr>
          <w:rFonts w:ascii="Times New Roman" w:hAnsi="Times New Roman" w:cs="Times New Roman"/>
          <w:b/>
          <w:sz w:val="28"/>
          <w:szCs w:val="28"/>
        </w:rPr>
        <w:t>32/2024/NĐ-CP ngày 15/3/2024 của Chính phủ về quản lý, phát triển cụm công nghiệp, có hiệu lực từ</w:t>
      </w:r>
      <w:r>
        <w:rPr>
          <w:rFonts w:ascii="Times New Roman" w:hAnsi="Times New Roman" w:cs="Times New Roman"/>
          <w:b/>
          <w:sz w:val="28"/>
          <w:szCs w:val="28"/>
        </w:rPr>
        <w:t xml:space="preserve"> ngày 01/5/2024</w:t>
      </w:r>
    </w:p>
    <w:p w:rsidR="00D73E52" w:rsidRPr="008C34C2" w:rsidRDefault="008C34C2" w:rsidP="002F0CB6">
      <w:pPr>
        <w:spacing w:before="60"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Theo đó, Nghị định quy định vè đ</w:t>
      </w:r>
      <w:r w:rsidR="00D73E52" w:rsidRPr="00D73E52">
        <w:rPr>
          <w:rFonts w:ascii="Times New Roman" w:hAnsi="Times New Roman" w:cs="Times New Roman"/>
          <w:sz w:val="28"/>
          <w:szCs w:val="28"/>
        </w:rPr>
        <w:t>iều kiện thành lập, mở rộng cụm công nghiệ</w:t>
      </w:r>
      <w:r>
        <w:rPr>
          <w:rFonts w:ascii="Times New Roman" w:hAnsi="Times New Roman" w:cs="Times New Roman"/>
          <w:sz w:val="28"/>
          <w:szCs w:val="28"/>
        </w:rPr>
        <w:t>p</w:t>
      </w:r>
      <w:r>
        <w:rPr>
          <w:rFonts w:ascii="Times New Roman" w:hAnsi="Times New Roman" w:cs="Times New Roman"/>
          <w:sz w:val="28"/>
          <w:szCs w:val="28"/>
          <w:lang w:val="en-US"/>
        </w:rPr>
        <w:t>, cụ thể như sau:</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Việc thành lập cụm công nghiệp phải đáp ứng các điều kiện sau:</w:t>
      </w:r>
    </w:p>
    <w:p w:rsidR="0026322D" w:rsidRDefault="0026322D" w:rsidP="002F0CB6">
      <w:pPr>
        <w:spacing w:before="60" w:after="0"/>
        <w:ind w:firstLine="720"/>
        <w:jc w:val="both"/>
        <w:rPr>
          <w:rFonts w:ascii="Times New Roman" w:hAnsi="Times New Roman" w:cs="Times New Roman"/>
          <w:sz w:val="28"/>
          <w:szCs w:val="28"/>
          <w:lang w:val="en-US"/>
        </w:rPr>
        <w:sectPr w:rsidR="0026322D">
          <w:pgSz w:w="11906" w:h="16838"/>
          <w:pgMar w:top="1134" w:right="1134" w:bottom="1134" w:left="1701" w:header="720" w:footer="720" w:gutter="0"/>
          <w:cols w:space="720"/>
          <w:docGrid w:linePitch="360"/>
        </w:sectPr>
      </w:pP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00D73E52" w:rsidRPr="00D73E52">
        <w:rPr>
          <w:rFonts w:ascii="Times New Roman" w:hAnsi="Times New Roman" w:cs="Times New Roman"/>
          <w:sz w:val="28"/>
          <w:szCs w:val="28"/>
        </w:rPr>
        <w:t xml:space="preserve"> Có trong Danh mục các cụm công nghiệp trên địa bàn cấp tỉnh đã được cấp có thẩm quyền phê duyệt; có quỹ đất phù hợp với quy hoạch sử dụng đất trên địa bàn cấp huyện;</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xml:space="preserve"> Có doanh nghiệp, hợp tác xã, tổ chức có tư cách pháp lý, có năng lực đầu tư xây dựng hạ tầng kỹ thuật đề nghị làm chủ đầu tư xây dựng hạ tầng kỹ thuật cụm công nghiệp;</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xml:space="preserve"> Trong trường hợp địa bàn cấp huyện đã thành lập cụm công nghiệp thì ỷ lệ lấp đầy trung bình của các cụm công nghiệp đạt trên 50% hoặc tổng quỹ đất công nghiệp chưa cho thuê của các cụm công nghiệp không vượt quá 100 ha.</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Việc mở rộng cụm công nghiệp phải đáp ứng các điều kiện sau:</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xml:space="preserve"> Tổng diện tích cụm công nghiệp sau khi mở rộng không vượt quá 75 ha; có quỹ đất phù hợp với quy hoạch sử dụng đất trên địa bàn cấp huyện;</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xml:space="preserve"> Có doanh nghiệp, hợp tác xã, tổ chức có tư cách pháp lý, có năng lực đầu tư xây dựng hạ tầng kỹ thuật đề nghị làm chủ đầu tư xây dựng hạ tầng kỹ thuật cụm công nghiệp;</w:t>
      </w:r>
    </w:p>
    <w:p w:rsidR="00D73E52" w:rsidRPr="00D73E52" w:rsidRDefault="00641378" w:rsidP="002F0CB6">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xml:space="preserve"> Đạt tỷ lệ lấp đầy ít nhất 60% hoặc nhu cầu thuê đất công nghiệp trong cụm công nghiệp vượt quá diện tích đất công nghiệp hiện có của cụm công nghiệp;</w:t>
      </w:r>
    </w:p>
    <w:p w:rsidR="00D73E52" w:rsidRPr="00D73E52" w:rsidRDefault="00641378" w:rsidP="002F0CB6">
      <w:pPr>
        <w:spacing w:before="60" w:after="0"/>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D73E52" w:rsidRPr="00D73E52">
        <w:rPr>
          <w:rFonts w:ascii="Times New Roman" w:hAnsi="Times New Roman" w:cs="Times New Roman"/>
          <w:sz w:val="28"/>
          <w:szCs w:val="28"/>
        </w:rPr>
        <w:t xml:space="preserve"> Hoàn thành xây dựng, đưa vào sử dụng các công trình hạ tầng kỹ thuật dùng </w:t>
      </w:r>
      <w:proofErr w:type="gramStart"/>
      <w:r w:rsidR="00D73E52" w:rsidRPr="00D73E52">
        <w:rPr>
          <w:rFonts w:ascii="Times New Roman" w:hAnsi="Times New Roman" w:cs="Times New Roman"/>
          <w:sz w:val="28"/>
          <w:szCs w:val="28"/>
        </w:rPr>
        <w:t>chung</w:t>
      </w:r>
      <w:proofErr w:type="gramEnd"/>
      <w:r w:rsidR="00D73E52" w:rsidRPr="00D73E52">
        <w:rPr>
          <w:rFonts w:ascii="Times New Roman" w:hAnsi="Times New Roman" w:cs="Times New Roman"/>
          <w:sz w:val="28"/>
          <w:szCs w:val="28"/>
        </w:rPr>
        <w:t xml:space="preserve"> thiết yếu (gồm: Đường giao thông nội bộ, cấp nước, thu gom và xử lý nước thải) theo quy hoạch chi tiết đã được phê duyệt.</w:t>
      </w:r>
    </w:p>
    <w:p w:rsidR="009C332B" w:rsidRPr="0080361E" w:rsidRDefault="00011AFA" w:rsidP="00290CC4">
      <w:pPr>
        <w:spacing w:before="120" w:after="40" w:line="264"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3</w:t>
      </w:r>
      <w:r w:rsidR="001B4D1A">
        <w:rPr>
          <w:rFonts w:ascii="Times New Roman" w:hAnsi="Times New Roman" w:cs="Times New Roman"/>
          <w:b/>
          <w:sz w:val="28"/>
          <w:szCs w:val="28"/>
          <w:lang w:val="en-US"/>
        </w:rPr>
        <w:t xml:space="preserve">. </w:t>
      </w:r>
      <w:r w:rsidR="000F3877" w:rsidRPr="0080361E">
        <w:rPr>
          <w:rFonts w:ascii="Times New Roman" w:hAnsi="Times New Roman" w:cs="Times New Roman"/>
          <w:b/>
          <w:sz w:val="28"/>
          <w:szCs w:val="28"/>
        </w:rPr>
        <w:t>Nghị định số 34/2024/NĐ-CP ngày 31/3/2024 của Chính phủ quy định Danh mục hàng hóa nguy hiểm, vận chuyển hàng hóa nguy hiểm bằng phương tiện giao thông cơ giới đường bộ và phương tiện thủy nội địa, có hiệu lực từ ngày 15/5/2024</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Theo đó, Nghị định quy định 9 loại hàng hóa nguy hiểm, vận chuyển bằng phương tiện giao thông cơ giới đường bộ và thủy nội địa được Chính phủ nêu tại </w:t>
      </w:r>
      <w:hyperlink r:id="rId10" w:history="1">
        <w:r w:rsidRPr="00626702">
          <w:rPr>
            <w:rFonts w:ascii="Times New Roman" w:hAnsi="Times New Roman" w:cs="Times New Roman"/>
            <w:sz w:val="28"/>
            <w:szCs w:val="28"/>
          </w:rPr>
          <w:t>Nghị định 34/2024/NĐ-CP</w:t>
        </w:r>
      </w:hyperlink>
      <w:r w:rsidRPr="00626702">
        <w:rPr>
          <w:rFonts w:ascii="Times New Roman" w:hAnsi="Times New Roman" w:cs="Times New Roman"/>
          <w:sz w:val="28"/>
          <w:szCs w:val="28"/>
        </w:rPr>
        <w:t> có hiệu lực từ 15/5/2024. Cụ thể:</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1: Chất nổ và vật phẩm dễ nổ</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2: Khí gồm khí dễ cháy, khí độc hại…</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3: Chất lỏng dễ cháy, chất nổ lỏng khử nhạy</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4: Chất rắn dễ cháy, chất khi tiếp xúc với nước tạo ra khí dễ cháy…</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5: Chất ô xi hóa, perôxit hữu cơ</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6: Chất độc, chất gây nhiễm bệnh</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7: Chất phóng xạ</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lastRenderedPageBreak/>
        <w:t>Loại 8: Chất ăn mòn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Loại 9: Chất và vật phẩm nguy hiểm khác</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Lưu ý: Với các bao bì, thùng chứa hàng hóa nguy hiểm nhưng chưa được làm sạch bên trong và bên ngoài sau khi dỡ hết hàng hóa nguy hiểm cũng được coi là hàng hóa nguy hiểm tương ứng.</w:t>
      </w:r>
    </w:p>
    <w:p w:rsidR="009C332B" w:rsidRPr="00514FC2" w:rsidRDefault="00011AFA" w:rsidP="00290CC4">
      <w:pPr>
        <w:spacing w:before="120" w:after="40" w:line="264"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4</w:t>
      </w:r>
      <w:r w:rsidR="00514FC2" w:rsidRPr="00514FC2">
        <w:rPr>
          <w:rFonts w:ascii="Times New Roman" w:hAnsi="Times New Roman" w:cs="Times New Roman"/>
          <w:b/>
          <w:sz w:val="28"/>
          <w:szCs w:val="28"/>
          <w:lang w:val="en-US"/>
        </w:rPr>
        <w:t xml:space="preserve">. </w:t>
      </w:r>
      <w:r w:rsidR="000F3877" w:rsidRPr="00514FC2">
        <w:rPr>
          <w:rFonts w:ascii="Times New Roman" w:hAnsi="Times New Roman" w:cs="Times New Roman"/>
          <w:b/>
          <w:sz w:val="28"/>
          <w:szCs w:val="28"/>
        </w:rPr>
        <w:t>Nghị định số 35/2024/NĐ-CP ngày 02/4/2024 của Chính phủ quy định về xét tặng danh hiệu "Nhà giáo nhân dân", "Nhà giáo ưu tú", có hiệu lực thi hành kể từ ngày 25/5/2024</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Theo đó, danh hiệu "Nhà giáo ưu tú" để tặng cho cá nhân trung thành với Tổ quốc, chấp hành tốt chủ trương của Đảng, chính sách, pháp luật của Nhà nước, có phẩm chất đạo đức tốt và đạt được các tiêu chuẩn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Nhà giáo có thời gian trực tiếp nuôi dạy, giảng dạy từ 15 năm trở lên; đối với cán bộ quản lý tại cơ sở giáo dục, cán bộ quản lý tại cơ quan quản lý giáo dục, cán bộ nghiên cứu giáo dục phải có thời gian công tác trong ngành từ 20 năm trở lên, trong đó có 10 năm trở lên trực tiếp nuôi dạy, giảng dạy.</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Tâm huyết, tận tụy với nghề, thương yêu, đối xử công bằng và tôn trọng nhân cách người học; có uy tín về chuyên môn, ảnh hưởng rộng rãi trong ngành, lĩnh vực hoặc cấp tỉnh, là tấm gương sáng, nhà giáo mẫu mực, xuất sắc tiêu biểu trong đổi mới quản lý, nuôi dạy, giảng dạy; có năng lực tham mưu, tư vấn, hỗ trợ đồng nghiệp trong hoạt động chuyên môn, nghiệp vụ và trong hoạt động bồi dưỡng phát triển năng lực nghề nghiệp; tích cực tham gia các hoạt động xã hội, có đóng góp vì lợi ích cộng đồng, vì sự nghiệp giáo dục và đào tạo; được người học, đồng nghiệp và nhân dân kính trọng.</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Tài năng sư phạm được quy định với từng đối tượng như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Nhà giáo, cán bộ quản lý tại các cơ sở giáo dục mầm non: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Tác giả 01 sáng kiến được công nhận có hiệu quả áp dụng trong nuôi dạy hoặc quản lý, có khả năng nhân rộng trong bộ, ban, ngành, tỉnh;</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Tham gia biên soạn 01 tài liệu bồi dưỡng theo các chương trình bồi dưỡng cấp bộ, ban, ngành, tỉnh, sở tổ chức hoặc tham gia biên soạn 01 báo cáo chuyên đề tại hội nghị, hội thảo chuyên môn do bộ, ban, ngành, tỉnh, sở tổ chức hoặc 01 lần tham gia biên soạn, phát triển chương trình giáo dục mầm non đã được Bộ GDĐT phê duyệt.</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Nhà giáo, cán bộ quản lý tại các cơ sở giáo dục đại học, cán bộ nghiên cứu giáo dục đạt các tiêu chuẩn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lastRenderedPageBreak/>
        <w:t>Chủ nhiệm 01 nhiệm vụ khoa học và công nghệ cấp quốc gia đã được nghiệm thu từ mức đạt trở lên hoặc chủ nhiệm 02 nhiệm vụ khoa học và công nghệ cấp tỉnh, bộ đã được nghiệm thu từ mức đạt trở lên;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Tác giả 10 bài báo khoa học, chủ biên 01 giáo trình, hướng dẫn 02 nghiên cứu sinh bảo vệ thành công luận án tiến sĩ…</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Có công lao và thành tích đóng góp cho sự nghiệp giáo dục, đào tạo được quy định với từng đối tượng như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Nhà giáo, cán bộ quản lý tại cơ sở giáo dục công tác ở vùng có điều kiện kinh tế - xã hội đặc biệt khó khăn, trường, lớp dành cho người khuyết tật, trung tâm hỗ trợ phát triển giáo dục hòa nhập đã 03 lần đạt danh hiệu chiến sĩ thi đua cơ sở, giáo viên dạy giỏi cấp huyện trở lên; 01 lần được tặng bằng khen theo công trạng cấp bộ, ban, ngành, tỉnh hoặc các danh hiệu thi đua, hình thức khen thưởng cấp Nhà nước;</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Nhà giáo, cán bộ quản lý tại cơ sở giáo dục, cán bộ quản lý tại cơ quan quản lý giáo dục, cán bộ nghiên cứu giáo dục không thuộc các đối tượng trên đã đạt 05 lần đạt danh hiệu thi đua cơ sở, giáo viên dạy giỏi cấp huyện trở lên; 01 lần đạt danh hiệu giáo viên dạy giỏi cấp tỉnh; 02 lần được tặng bằng khen theo công trạng cấp bộ, ban, ngành, tỉnh hoặc các danh hiệu thi đua, hình thức khen thưởng cấp Nhà nước.</w:t>
      </w:r>
    </w:p>
    <w:p w:rsidR="009C332B" w:rsidRPr="00514FC2" w:rsidRDefault="00011AFA" w:rsidP="00290CC4">
      <w:pPr>
        <w:spacing w:before="120" w:after="40" w:line="264"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5</w:t>
      </w:r>
      <w:r w:rsidR="000F3877" w:rsidRPr="00514FC2">
        <w:rPr>
          <w:rFonts w:ascii="Times New Roman" w:hAnsi="Times New Roman" w:cs="Times New Roman"/>
          <w:b/>
          <w:sz w:val="28"/>
          <w:szCs w:val="28"/>
        </w:rPr>
        <w:t xml:space="preserve">. Nghị định số 38/2024/NĐ-CP ngày 05/4/2024 của Chính phủ quy định xử phạt </w:t>
      </w:r>
      <w:proofErr w:type="gramStart"/>
      <w:r w:rsidR="000F3877" w:rsidRPr="00514FC2">
        <w:rPr>
          <w:rFonts w:ascii="Times New Roman" w:hAnsi="Times New Roman" w:cs="Times New Roman"/>
          <w:b/>
          <w:sz w:val="28"/>
          <w:szCs w:val="28"/>
        </w:rPr>
        <w:t>vi</w:t>
      </w:r>
      <w:proofErr w:type="gramEnd"/>
      <w:r w:rsidR="000F3877" w:rsidRPr="00514FC2">
        <w:rPr>
          <w:rFonts w:ascii="Times New Roman" w:hAnsi="Times New Roman" w:cs="Times New Roman"/>
          <w:b/>
          <w:sz w:val="28"/>
          <w:szCs w:val="28"/>
        </w:rPr>
        <w:t xml:space="preserve"> phạm hành chính trong lĩnh vực thủy sản, có hiệu lực kể từ ngày 20/5/2024</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Phạt đến 01 tỷ đồng đối với khai thác thủy sản trái phép bằng tàu không quốc tịch</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Theo đó, Nghị định có một số nội dung đáng chú ý như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Hình thức xử phạt chính đối với một hành vi vi phạm hành chính trong lĩnh vực thủy sản là phạt tiền. Đồng thời, hình thức phạt bổ sung gồm có:</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Tước quyền sử dụng giấy phép, chứng chỉ hành nghề có thời hạn hoặc đình chỉ hoạt động có thời hạn;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Tịch thu tang vật, phương tiện vi phạm hành chính.</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Mức phạt tiền 800.000.000 đồng đến 1.000.000.000 đồng đối với một trong các hành vi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Sử dụng tàu cá có chiều dài lớn nhất từ 24 mét trở lên khai thác thủy sản trên biển không có Giấy phép khai thác thủy sản đã hết hạn;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xml:space="preserve">+ Khai thác thủy sản tại vùng biển của quốc gia, vùng lãnh thổ khác hoặc vùng biển thuộc quyền quản lý của Tổ chức nghề cá khu vực mà không có Giấy </w:t>
      </w:r>
      <w:r w:rsidRPr="00626702">
        <w:rPr>
          <w:rFonts w:ascii="Times New Roman" w:hAnsi="Times New Roman" w:cs="Times New Roman"/>
          <w:sz w:val="28"/>
          <w:szCs w:val="28"/>
        </w:rPr>
        <w:lastRenderedPageBreak/>
        <w:t>phép khai thác thủy sản hoặc Giấy phép khai thác thủy sản hết hạn hoặc không có giấy chấp thuận hoặc giấy chấp thuận hết hạn;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Sử dụng tàu cá nước ngoài hoạt động trong vùng biển Việt Nam mà không có Giấy phép khai thác thủy sản hoặc Giấy phép khai thác thủy sản hết hạn;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Sử dụng tàu cá không quốc tịch hoặc mang quốc tịch của quốc gia không phải thành viên để khai thác thủy sản trái phép trong vùng biển thuộc quyền quản lý của Tổ chức nghề cá khu vực;</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Che giấu, giả mạo hoặc hủy chứng cứ vi phạm quy định về khai thác, bảo vệ nguồn lợi thủy sản trong trường hợp tái phạm;…</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Thời hiệu xử phạt vi phạm hành chính trong lĩnh vực thủy sản là 02 năm.</w:t>
      </w:r>
    </w:p>
    <w:p w:rsidR="009C332B" w:rsidRPr="00514FC2" w:rsidRDefault="00011AFA" w:rsidP="00290CC4">
      <w:pPr>
        <w:spacing w:before="120" w:after="40" w:line="264"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6</w:t>
      </w:r>
      <w:r w:rsidR="000F3877" w:rsidRPr="00514FC2">
        <w:rPr>
          <w:rFonts w:ascii="Times New Roman" w:hAnsi="Times New Roman" w:cs="Times New Roman"/>
          <w:b/>
          <w:sz w:val="28"/>
          <w:szCs w:val="28"/>
        </w:rPr>
        <w:t>. Quyết định số 05/2024/QĐ-TTg của Thủ tướng Chính phủ quy định về cơ chế điều chỉnh mức giá bán lẻ điện bình quân, có hiệu lực từ ngày 15/5/2024</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Theo đó, Quyết định nêu rõ cơ chế điều chỉnh giá bán điện bình quân hằng năm cụ thể như sau:</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Thời gian điều chỉnh giá bán điện bình quân tối thiểu là 03 tháng kể từ lần điều chỉnh giá điện gần nhất (theo quy định cũ là 06 tháng). Việc điều chỉnh giá bán điện bình quân phải thực hiện công khai, minh bạch.</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Trong năm, giá bán điện bình quân được xem xét điều chỉnh trên cơ sở cập nhật chi phí khâu phát điện, chi phí mua điện từ các nhà máy điện cung cấp dịch vụ phụ trợ theo thông số đầu vào cơ bản trong khâu phát điện và các khoản chi phí khác chưa được tính vào giá điện.</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Khi giá bán điện bình quân giảm từ 1% trở lên so với giá bán điện bình quân hiện hành thì giá điện được phép điều chỉnh giảm tương ứng. Khi giá bán điện bình quân tăng từ 3% trở lên so với giá bán điện bình quân hiện hành thì giá điện được phép điều chỉnh tăng.</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 Trường hợp giá bán điện bình quân cần điều chỉnh cao hơn giá bán điện bình quân hiện hành từ 10% trở lên hoặc ảnh hưởng đến tình hình kinh tế vĩ mô, Bộ Công Thương chủ trì, phối hợp với các Bộ, cơ quan liên quan kiểm tra, rà soát và báo cáo Thủ tướng Chính phủ xem xét, cho ý kiến. Trường hợp cần thiết, Bộ Công Thương phối hợp với các Bộ, cơ quan liên quan báo cáo Ban Chỉ đạo điều hành giá trước khi báo cáo Thủ tướng Chính phủ.</w:t>
      </w:r>
    </w:p>
    <w:p w:rsidR="009C332B" w:rsidRPr="00514FC2" w:rsidRDefault="000F3877" w:rsidP="00290CC4">
      <w:pPr>
        <w:spacing w:before="120" w:after="40" w:line="264" w:lineRule="auto"/>
        <w:ind w:firstLine="709"/>
        <w:jc w:val="both"/>
        <w:rPr>
          <w:rFonts w:ascii="Times New Roman" w:hAnsi="Times New Roman" w:cs="Times New Roman"/>
          <w:b/>
          <w:sz w:val="28"/>
          <w:szCs w:val="28"/>
        </w:rPr>
      </w:pPr>
      <w:r w:rsidRPr="00514FC2">
        <w:rPr>
          <w:rFonts w:ascii="Times New Roman" w:hAnsi="Times New Roman" w:cs="Times New Roman"/>
          <w:b/>
          <w:sz w:val="28"/>
          <w:szCs w:val="28"/>
        </w:rPr>
        <w:t xml:space="preserve"> </w:t>
      </w:r>
      <w:r w:rsidR="00011AFA">
        <w:rPr>
          <w:rFonts w:ascii="Times New Roman" w:hAnsi="Times New Roman" w:cs="Times New Roman"/>
          <w:b/>
          <w:sz w:val="28"/>
          <w:szCs w:val="28"/>
          <w:lang w:val="en-US"/>
        </w:rPr>
        <w:t>7</w:t>
      </w:r>
      <w:bookmarkStart w:id="0" w:name="_GoBack"/>
      <w:bookmarkEnd w:id="0"/>
      <w:r w:rsidRPr="00514FC2">
        <w:rPr>
          <w:rFonts w:ascii="Times New Roman" w:hAnsi="Times New Roman" w:cs="Times New Roman"/>
          <w:b/>
          <w:sz w:val="28"/>
          <w:szCs w:val="28"/>
        </w:rPr>
        <w:t xml:space="preserve">. Thông tư số 02/2024/TT-BLĐTBXH ngày 23/02/2024 của Bộ Lao động Thương binh và Xã hội sửa đổi, bổ sung một số điều của Thông tư 21/2021/TT-BLĐTBXH ngày 15/12/2021 của Bộ trưởng Bộ Lao động Thương binh và Xã hội quy định chi tiết một số điều của Luật Người lao </w:t>
      </w:r>
      <w:r w:rsidRPr="00514FC2">
        <w:rPr>
          <w:rFonts w:ascii="Times New Roman" w:hAnsi="Times New Roman" w:cs="Times New Roman"/>
          <w:b/>
          <w:sz w:val="28"/>
          <w:szCs w:val="28"/>
        </w:rPr>
        <w:lastRenderedPageBreak/>
        <w:t>động Việt Nam đi làm việc ở nước ngoài theo hợp đồng, có hiệu lực kể từ ngày 15/5/2024</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Từ ngày 15/5/2024 áp dụng mẫu hợp đồng xuất khẩu lao động mới</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Theo đó, nếu hợp đồng đã được ký kết và người lao động đã xuất cảnh trước ngày 15/5/2024 thì tiếp tục thực hiện cho đến khi hết hạn hợp đồng. Với hợp đồng mà người lao động chưa xuất cảnh trước ngày này mà có nội dung trái quy định của Thông tư 02 này thì phải sửa đổi, bổ sung hoặc ký kết mới.</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Đồng thời, theo quy định mới, mức trần thù lao theo hợp đồng môi giới với một số ngành, nghề cụ thể nêu tại Điều 7 cũng được sửa đổi, bổ sung thành mức trần giá dịch vụ.</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sidRPr="00626702">
        <w:rPr>
          <w:rFonts w:ascii="Times New Roman" w:hAnsi="Times New Roman" w:cs="Times New Roman"/>
          <w:sz w:val="28"/>
          <w:szCs w:val="28"/>
        </w:rPr>
        <w:t>Nếu hợp đồng lao động có thời hạn từ 36 tháng trở lên thì mức trần giá dịch vụ theo hợp đồng môi giới không quá 1,5 tháng tiền lương theo hợp đồng của người lao động.</w:t>
      </w:r>
    </w:p>
    <w:p w:rsidR="009C332B" w:rsidRPr="00626702" w:rsidRDefault="000F3877" w:rsidP="00290CC4">
      <w:pPr>
        <w:spacing w:before="120" w:after="40" w:line="264" w:lineRule="auto"/>
        <w:ind w:firstLine="709"/>
        <w:jc w:val="both"/>
        <w:rPr>
          <w:rFonts w:ascii="Times New Roman" w:hAnsi="Times New Roman" w:cs="Times New Roman"/>
          <w:sz w:val="28"/>
          <w:szCs w:val="28"/>
        </w:rPr>
      </w:pPr>
      <w:r>
        <w:rPr>
          <w:rFonts w:ascii="Times New Roman" w:hAnsi="Times New Roman" w:cs="Times New Roman"/>
          <w:sz w:val="28"/>
          <w:szCs w:val="28"/>
        </w:rPr>
        <w:t>Trên đây là một số chính sách văn bản pháp luật có hiệu lực trong tháng 5/202</w:t>
      </w:r>
      <w:r w:rsidRPr="00626702">
        <w:rPr>
          <w:rFonts w:ascii="Times New Roman" w:hAnsi="Times New Roman" w:cs="Times New Roman"/>
          <w:sz w:val="28"/>
          <w:szCs w:val="28"/>
        </w:rPr>
        <w:t>4</w:t>
      </w:r>
      <w:r>
        <w:rPr>
          <w:rFonts w:ascii="Times New Roman" w:hAnsi="Times New Roman" w:cs="Times New Roman"/>
          <w:sz w:val="28"/>
          <w:szCs w:val="28"/>
        </w:rPr>
        <w:t xml:space="preserve">, Hội đồng PBGDPL thị xã tổng hợp cung cấp thông tin đến các </w:t>
      </w:r>
      <w:r w:rsidRPr="00626702">
        <w:rPr>
          <w:rFonts w:ascii="Times New Roman" w:hAnsi="Times New Roman" w:cs="Times New Roman"/>
          <w:sz w:val="28"/>
          <w:szCs w:val="28"/>
        </w:rPr>
        <w:t xml:space="preserve">cán bộ, công chức, </w:t>
      </w:r>
      <w:r>
        <w:rPr>
          <w:rFonts w:ascii="Times New Roman" w:hAnsi="Times New Roman" w:cs="Times New Roman"/>
          <w:sz w:val="28"/>
          <w:szCs w:val="28"/>
        </w:rPr>
        <w:t>cơ quan đơn vị có liên quan căn cứ</w:t>
      </w:r>
      <w:r w:rsidRPr="00626702">
        <w:rPr>
          <w:rFonts w:ascii="Times New Roman" w:hAnsi="Times New Roman" w:cs="Times New Roman"/>
          <w:sz w:val="28"/>
          <w:szCs w:val="28"/>
        </w:rPr>
        <w:t xml:space="preserve"> chức năng, nhiệm vụ tổ chức</w:t>
      </w:r>
      <w:r>
        <w:rPr>
          <w:rFonts w:ascii="Times New Roman" w:hAnsi="Times New Roman" w:cs="Times New Roman"/>
          <w:sz w:val="28"/>
          <w:szCs w:val="28"/>
        </w:rPr>
        <w:t xml:space="preserve"> thực hiện./.</w:t>
      </w:r>
    </w:p>
    <w:p w:rsidR="009C332B" w:rsidRDefault="009C332B">
      <w:pPr>
        <w:spacing w:before="80" w:after="0" w:line="269" w:lineRule="auto"/>
        <w:ind w:firstLine="720"/>
        <w:jc w:val="both"/>
        <w:rPr>
          <w:rFonts w:ascii="Times New Roman" w:hAnsi="Times New Roman" w:cs="Times New Roman"/>
          <w:b/>
          <w:sz w:val="28"/>
          <w:szCs w:val="28"/>
          <w:lang w:val="en-US"/>
        </w:rPr>
      </w:pPr>
    </w:p>
    <w:p w:rsidR="009C332B" w:rsidRDefault="000F3877">
      <w:pPr>
        <w:spacing w:after="60"/>
        <w:ind w:left="1440" w:firstLine="720"/>
        <w:jc w:val="center"/>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rPr>
        <w:t>HỘI ĐỒNG PBGDPL THỊ XÃ</w:t>
      </w:r>
    </w:p>
    <w:p w:rsidR="009C332B" w:rsidRDefault="009C332B">
      <w:pPr>
        <w:rPr>
          <w:rFonts w:ascii="Times New Roman" w:hAnsi="Times New Roman" w:cs="Times New Roman"/>
          <w:sz w:val="28"/>
          <w:szCs w:val="28"/>
        </w:rPr>
      </w:pPr>
    </w:p>
    <w:sectPr w:rsidR="009C332B">
      <w:headerReference w:type="default" r:id="rId1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B1" w:rsidRDefault="00AD4BB1">
      <w:pPr>
        <w:spacing w:line="240" w:lineRule="auto"/>
      </w:pPr>
      <w:r>
        <w:separator/>
      </w:r>
    </w:p>
  </w:endnote>
  <w:endnote w:type="continuationSeparator" w:id="0">
    <w:p w:rsidR="00AD4BB1" w:rsidRDefault="00AD4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B1" w:rsidRDefault="00AD4BB1">
      <w:pPr>
        <w:spacing w:after="0"/>
      </w:pPr>
      <w:r>
        <w:separator/>
      </w:r>
    </w:p>
  </w:footnote>
  <w:footnote w:type="continuationSeparator" w:id="0">
    <w:p w:rsidR="00AD4BB1" w:rsidRDefault="00AD4B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87194"/>
      <w:docPartObj>
        <w:docPartGallery w:val="Page Numbers (Top of Page)"/>
        <w:docPartUnique/>
      </w:docPartObj>
    </w:sdtPr>
    <w:sdtEndPr>
      <w:rPr>
        <w:rFonts w:ascii="Times New Roman" w:hAnsi="Times New Roman" w:cs="Times New Roman"/>
        <w:noProof/>
        <w:sz w:val="26"/>
        <w:szCs w:val="26"/>
      </w:rPr>
    </w:sdtEndPr>
    <w:sdtContent>
      <w:p w:rsidR="0026322D" w:rsidRPr="0026322D" w:rsidRDefault="0026322D" w:rsidP="0026322D">
        <w:pPr>
          <w:pStyle w:val="Header"/>
          <w:jc w:val="center"/>
          <w:rPr>
            <w:rFonts w:ascii="Times New Roman" w:hAnsi="Times New Roman" w:cs="Times New Roman"/>
            <w:sz w:val="26"/>
            <w:szCs w:val="26"/>
          </w:rPr>
        </w:pPr>
        <w:r w:rsidRPr="0026322D">
          <w:rPr>
            <w:rFonts w:ascii="Times New Roman" w:hAnsi="Times New Roman" w:cs="Times New Roman"/>
            <w:sz w:val="26"/>
            <w:szCs w:val="26"/>
          </w:rPr>
          <w:fldChar w:fldCharType="begin"/>
        </w:r>
        <w:r w:rsidRPr="0026322D">
          <w:rPr>
            <w:rFonts w:ascii="Times New Roman" w:hAnsi="Times New Roman" w:cs="Times New Roman"/>
            <w:sz w:val="26"/>
            <w:szCs w:val="26"/>
          </w:rPr>
          <w:instrText xml:space="preserve"> PAGE   \* MERGEFORMAT </w:instrText>
        </w:r>
        <w:r w:rsidRPr="0026322D">
          <w:rPr>
            <w:rFonts w:ascii="Times New Roman" w:hAnsi="Times New Roman" w:cs="Times New Roman"/>
            <w:sz w:val="26"/>
            <w:szCs w:val="26"/>
          </w:rPr>
          <w:fldChar w:fldCharType="separate"/>
        </w:r>
        <w:r w:rsidR="00011AFA">
          <w:rPr>
            <w:rFonts w:ascii="Times New Roman" w:hAnsi="Times New Roman" w:cs="Times New Roman"/>
            <w:noProof/>
            <w:sz w:val="26"/>
            <w:szCs w:val="26"/>
          </w:rPr>
          <w:t>5</w:t>
        </w:r>
        <w:r w:rsidRPr="0026322D">
          <w:rPr>
            <w:rFonts w:ascii="Times New Roman" w:hAnsi="Times New Roman" w:cs="Times New Roman"/>
            <w:noProof/>
            <w:sz w:val="26"/>
            <w:szCs w:val="26"/>
          </w:rPr>
          <w:fldChar w:fldCharType="end"/>
        </w:r>
      </w:p>
    </w:sdtContent>
  </w:sdt>
  <w:p w:rsidR="0026322D" w:rsidRDefault="00263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C6AD6"/>
    <w:multiLevelType w:val="singleLevel"/>
    <w:tmpl w:val="F2DC6AD6"/>
    <w:lvl w:ilvl="0">
      <w:start w:val="1"/>
      <w:numFmt w:val="decimal"/>
      <w:suff w:val="space"/>
      <w:lvlText w:val="%1."/>
      <w:lvlJc w:val="left"/>
    </w:lvl>
  </w:abstractNum>
  <w:abstractNum w:abstractNumId="1">
    <w:nsid w:val="5EAD0ED0"/>
    <w:multiLevelType w:val="singleLevel"/>
    <w:tmpl w:val="5EAD0ED0"/>
    <w:lvl w:ilvl="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1AFA"/>
    <w:rsid w:val="000128CD"/>
    <w:rsid w:val="00022E5A"/>
    <w:rsid w:val="00031D3D"/>
    <w:rsid w:val="00032C2D"/>
    <w:rsid w:val="00034149"/>
    <w:rsid w:val="00045693"/>
    <w:rsid w:val="00046228"/>
    <w:rsid w:val="0004623A"/>
    <w:rsid w:val="00053639"/>
    <w:rsid w:val="00053FD8"/>
    <w:rsid w:val="000601BD"/>
    <w:rsid w:val="00075BED"/>
    <w:rsid w:val="0007710D"/>
    <w:rsid w:val="00083711"/>
    <w:rsid w:val="00091586"/>
    <w:rsid w:val="00097CED"/>
    <w:rsid w:val="000A2F89"/>
    <w:rsid w:val="000B480B"/>
    <w:rsid w:val="000B6358"/>
    <w:rsid w:val="000C1A88"/>
    <w:rsid w:val="000D2A7B"/>
    <w:rsid w:val="000D50A2"/>
    <w:rsid w:val="000E31A2"/>
    <w:rsid w:val="000F3877"/>
    <w:rsid w:val="000F53CC"/>
    <w:rsid w:val="00100C54"/>
    <w:rsid w:val="001226E1"/>
    <w:rsid w:val="001256D1"/>
    <w:rsid w:val="00133F97"/>
    <w:rsid w:val="00151D60"/>
    <w:rsid w:val="00152E9D"/>
    <w:rsid w:val="0015530D"/>
    <w:rsid w:val="00160C8F"/>
    <w:rsid w:val="00167685"/>
    <w:rsid w:val="00171DDD"/>
    <w:rsid w:val="00172035"/>
    <w:rsid w:val="0018026B"/>
    <w:rsid w:val="00180435"/>
    <w:rsid w:val="001805CB"/>
    <w:rsid w:val="0018270C"/>
    <w:rsid w:val="00182B5C"/>
    <w:rsid w:val="0019199A"/>
    <w:rsid w:val="001A2049"/>
    <w:rsid w:val="001A332E"/>
    <w:rsid w:val="001A5561"/>
    <w:rsid w:val="001B4D1A"/>
    <w:rsid w:val="001B5141"/>
    <w:rsid w:val="001B7D9C"/>
    <w:rsid w:val="001D089B"/>
    <w:rsid w:val="001D4291"/>
    <w:rsid w:val="001D689C"/>
    <w:rsid w:val="001E542A"/>
    <w:rsid w:val="001F0DB8"/>
    <w:rsid w:val="001F219E"/>
    <w:rsid w:val="001F6750"/>
    <w:rsid w:val="001F791D"/>
    <w:rsid w:val="00205C37"/>
    <w:rsid w:val="0020663F"/>
    <w:rsid w:val="00211E75"/>
    <w:rsid w:val="00227570"/>
    <w:rsid w:val="00235105"/>
    <w:rsid w:val="00251BB1"/>
    <w:rsid w:val="00252E4C"/>
    <w:rsid w:val="0026322D"/>
    <w:rsid w:val="00264E2E"/>
    <w:rsid w:val="0026771A"/>
    <w:rsid w:val="00280A5F"/>
    <w:rsid w:val="002875D8"/>
    <w:rsid w:val="00290CC4"/>
    <w:rsid w:val="00295585"/>
    <w:rsid w:val="002A20E4"/>
    <w:rsid w:val="002A3BB0"/>
    <w:rsid w:val="002A5F27"/>
    <w:rsid w:val="002A629C"/>
    <w:rsid w:val="002B2F7A"/>
    <w:rsid w:val="002B6F8A"/>
    <w:rsid w:val="002C07B0"/>
    <w:rsid w:val="002C1430"/>
    <w:rsid w:val="002C35AF"/>
    <w:rsid w:val="002C5C04"/>
    <w:rsid w:val="002C78AA"/>
    <w:rsid w:val="002D0EE8"/>
    <w:rsid w:val="002D116B"/>
    <w:rsid w:val="002D270D"/>
    <w:rsid w:val="002E2445"/>
    <w:rsid w:val="002F0CB6"/>
    <w:rsid w:val="002F6ECA"/>
    <w:rsid w:val="002F7B65"/>
    <w:rsid w:val="0031795A"/>
    <w:rsid w:val="003268D5"/>
    <w:rsid w:val="00326A98"/>
    <w:rsid w:val="0036198E"/>
    <w:rsid w:val="00365351"/>
    <w:rsid w:val="00384903"/>
    <w:rsid w:val="0038558D"/>
    <w:rsid w:val="003D3540"/>
    <w:rsid w:val="003E2D6F"/>
    <w:rsid w:val="003E791B"/>
    <w:rsid w:val="003F7DA7"/>
    <w:rsid w:val="00402CA5"/>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07ACD"/>
    <w:rsid w:val="00513354"/>
    <w:rsid w:val="00514FC2"/>
    <w:rsid w:val="0052194D"/>
    <w:rsid w:val="00530BCF"/>
    <w:rsid w:val="0054692F"/>
    <w:rsid w:val="005478C9"/>
    <w:rsid w:val="00550150"/>
    <w:rsid w:val="0055239A"/>
    <w:rsid w:val="005566D8"/>
    <w:rsid w:val="00557F89"/>
    <w:rsid w:val="0056127D"/>
    <w:rsid w:val="005618BE"/>
    <w:rsid w:val="005A06E3"/>
    <w:rsid w:val="005A3288"/>
    <w:rsid w:val="005B019A"/>
    <w:rsid w:val="005B28BD"/>
    <w:rsid w:val="005B6170"/>
    <w:rsid w:val="005D124A"/>
    <w:rsid w:val="005D7C2F"/>
    <w:rsid w:val="005E40A5"/>
    <w:rsid w:val="005E5DAB"/>
    <w:rsid w:val="005F0155"/>
    <w:rsid w:val="0060517B"/>
    <w:rsid w:val="00616881"/>
    <w:rsid w:val="00617185"/>
    <w:rsid w:val="006222AA"/>
    <w:rsid w:val="00626702"/>
    <w:rsid w:val="006278CA"/>
    <w:rsid w:val="00630334"/>
    <w:rsid w:val="00630A30"/>
    <w:rsid w:val="0063619A"/>
    <w:rsid w:val="00641378"/>
    <w:rsid w:val="0064581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1FF6"/>
    <w:rsid w:val="00725810"/>
    <w:rsid w:val="00725F00"/>
    <w:rsid w:val="007408BF"/>
    <w:rsid w:val="00741985"/>
    <w:rsid w:val="00745854"/>
    <w:rsid w:val="00750091"/>
    <w:rsid w:val="00753599"/>
    <w:rsid w:val="00756FC7"/>
    <w:rsid w:val="00761D0A"/>
    <w:rsid w:val="007639F3"/>
    <w:rsid w:val="00775086"/>
    <w:rsid w:val="00784F0B"/>
    <w:rsid w:val="00795E83"/>
    <w:rsid w:val="007A0906"/>
    <w:rsid w:val="007A6532"/>
    <w:rsid w:val="007B1FB0"/>
    <w:rsid w:val="007B3E6A"/>
    <w:rsid w:val="007E3A4B"/>
    <w:rsid w:val="007E7248"/>
    <w:rsid w:val="00800B74"/>
    <w:rsid w:val="0080361E"/>
    <w:rsid w:val="00805A18"/>
    <w:rsid w:val="00812D50"/>
    <w:rsid w:val="00814B6D"/>
    <w:rsid w:val="00815AD3"/>
    <w:rsid w:val="00820E24"/>
    <w:rsid w:val="00832C75"/>
    <w:rsid w:val="0084455E"/>
    <w:rsid w:val="00846FD2"/>
    <w:rsid w:val="00850221"/>
    <w:rsid w:val="00855D85"/>
    <w:rsid w:val="008561AE"/>
    <w:rsid w:val="00856C31"/>
    <w:rsid w:val="00872D52"/>
    <w:rsid w:val="00875B06"/>
    <w:rsid w:val="00883111"/>
    <w:rsid w:val="008837E3"/>
    <w:rsid w:val="00890B62"/>
    <w:rsid w:val="0089105C"/>
    <w:rsid w:val="008971BD"/>
    <w:rsid w:val="008979FD"/>
    <w:rsid w:val="008A0937"/>
    <w:rsid w:val="008A4378"/>
    <w:rsid w:val="008B55FB"/>
    <w:rsid w:val="008B661A"/>
    <w:rsid w:val="008C2FF3"/>
    <w:rsid w:val="008C34C2"/>
    <w:rsid w:val="008C7B54"/>
    <w:rsid w:val="008D2F41"/>
    <w:rsid w:val="008E17C1"/>
    <w:rsid w:val="008E1A82"/>
    <w:rsid w:val="008F0B15"/>
    <w:rsid w:val="008F0F3F"/>
    <w:rsid w:val="008F2419"/>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3F5A"/>
    <w:rsid w:val="009B5EE7"/>
    <w:rsid w:val="009C116F"/>
    <w:rsid w:val="009C332B"/>
    <w:rsid w:val="009E1FEF"/>
    <w:rsid w:val="009E4816"/>
    <w:rsid w:val="00A07596"/>
    <w:rsid w:val="00A10ADB"/>
    <w:rsid w:val="00A11912"/>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BB1"/>
    <w:rsid w:val="00AD4F7C"/>
    <w:rsid w:val="00AD61CF"/>
    <w:rsid w:val="00AF3F39"/>
    <w:rsid w:val="00B1611E"/>
    <w:rsid w:val="00B457B5"/>
    <w:rsid w:val="00B51CE9"/>
    <w:rsid w:val="00B555DA"/>
    <w:rsid w:val="00B574AB"/>
    <w:rsid w:val="00B66DE3"/>
    <w:rsid w:val="00B84235"/>
    <w:rsid w:val="00B9232C"/>
    <w:rsid w:val="00BA14EB"/>
    <w:rsid w:val="00BB70DD"/>
    <w:rsid w:val="00BB767A"/>
    <w:rsid w:val="00BC0E00"/>
    <w:rsid w:val="00BD68E2"/>
    <w:rsid w:val="00BD6A0C"/>
    <w:rsid w:val="00BE1A51"/>
    <w:rsid w:val="00BE6BF1"/>
    <w:rsid w:val="00BE6E12"/>
    <w:rsid w:val="00BF031E"/>
    <w:rsid w:val="00BF4EEA"/>
    <w:rsid w:val="00C06185"/>
    <w:rsid w:val="00C13E8F"/>
    <w:rsid w:val="00C209FA"/>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CF2503"/>
    <w:rsid w:val="00D0467A"/>
    <w:rsid w:val="00D077AB"/>
    <w:rsid w:val="00D07AF7"/>
    <w:rsid w:val="00D17AE6"/>
    <w:rsid w:val="00D25649"/>
    <w:rsid w:val="00D368CF"/>
    <w:rsid w:val="00D376E9"/>
    <w:rsid w:val="00D438D8"/>
    <w:rsid w:val="00D447EE"/>
    <w:rsid w:val="00D51A81"/>
    <w:rsid w:val="00D52F99"/>
    <w:rsid w:val="00D53702"/>
    <w:rsid w:val="00D5653D"/>
    <w:rsid w:val="00D67D7D"/>
    <w:rsid w:val="00D73E52"/>
    <w:rsid w:val="00D9211A"/>
    <w:rsid w:val="00D923C3"/>
    <w:rsid w:val="00DB224A"/>
    <w:rsid w:val="00DC65E3"/>
    <w:rsid w:val="00DC6612"/>
    <w:rsid w:val="00DC6FAA"/>
    <w:rsid w:val="00DD7E78"/>
    <w:rsid w:val="00DE1A32"/>
    <w:rsid w:val="00DE5D64"/>
    <w:rsid w:val="00DF4CDA"/>
    <w:rsid w:val="00DF5AD5"/>
    <w:rsid w:val="00E02E19"/>
    <w:rsid w:val="00E22372"/>
    <w:rsid w:val="00E47D5A"/>
    <w:rsid w:val="00E50882"/>
    <w:rsid w:val="00E5630E"/>
    <w:rsid w:val="00E6101C"/>
    <w:rsid w:val="00E61AF0"/>
    <w:rsid w:val="00E61F7F"/>
    <w:rsid w:val="00E62009"/>
    <w:rsid w:val="00E708A7"/>
    <w:rsid w:val="00E71AF3"/>
    <w:rsid w:val="00E94232"/>
    <w:rsid w:val="00EA1E92"/>
    <w:rsid w:val="00EB1256"/>
    <w:rsid w:val="00EB1C28"/>
    <w:rsid w:val="00EC4FDD"/>
    <w:rsid w:val="00ED4C76"/>
    <w:rsid w:val="00EE2A28"/>
    <w:rsid w:val="00EE3014"/>
    <w:rsid w:val="00EE32BD"/>
    <w:rsid w:val="00EE341B"/>
    <w:rsid w:val="00EE7EEE"/>
    <w:rsid w:val="00F05505"/>
    <w:rsid w:val="00F16C3C"/>
    <w:rsid w:val="00F37E9C"/>
    <w:rsid w:val="00F45BB8"/>
    <w:rsid w:val="00F51EDC"/>
    <w:rsid w:val="00F54233"/>
    <w:rsid w:val="00F564DB"/>
    <w:rsid w:val="00F5731E"/>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F59AA"/>
    <w:rsid w:val="1BC848BC"/>
    <w:rsid w:val="1D5D4778"/>
    <w:rsid w:val="298E28F7"/>
    <w:rsid w:val="2A6B17D3"/>
    <w:rsid w:val="36F572A0"/>
    <w:rsid w:val="3E6A699E"/>
    <w:rsid w:val="4036290E"/>
    <w:rsid w:val="50545FFA"/>
    <w:rsid w:val="5A6515B9"/>
    <w:rsid w:val="63AF0497"/>
    <w:rsid w:val="662D5025"/>
    <w:rsid w:val="6A8F61F9"/>
    <w:rsid w:val="6B2977B6"/>
    <w:rsid w:val="6B976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autoRedefine/>
    <w:uiPriority w:val="22"/>
    <w:qFormat/>
    <w:rPr>
      <w:b/>
      <w:bCs/>
    </w:rPr>
  </w:style>
  <w:style w:type="table" w:styleId="TableGrid">
    <w:name w:val="Table Grid"/>
    <w:basedOn w:val="TableNormal"/>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autoRedefine/>
    <w:uiPriority w:val="9"/>
    <w:qFormat/>
    <w:rPr>
      <w:rFonts w:eastAsia="Times New Roman" w:cs="Times New Roman"/>
      <w:b/>
      <w:bCs/>
      <w:sz w:val="36"/>
      <w:szCs w:val="36"/>
    </w:rPr>
  </w:style>
  <w:style w:type="character" w:customStyle="1" w:styleId="HeaderChar">
    <w:name w:val="Header Char"/>
    <w:basedOn w:val="DefaultParagraphFont"/>
    <w:link w:val="Header"/>
    <w:autoRedefine/>
    <w:uiPriority w:val="99"/>
    <w:qFormat/>
    <w:rPr>
      <w:rFonts w:asciiTheme="minorHAnsi" w:hAnsiTheme="minorHAnsi"/>
      <w:sz w:val="22"/>
      <w:lang w:val="vi-VN"/>
    </w:rPr>
  </w:style>
  <w:style w:type="character" w:customStyle="1" w:styleId="FooterChar">
    <w:name w:val="Footer Char"/>
    <w:basedOn w:val="DefaultParagraphFont"/>
    <w:link w:val="Footer"/>
    <w:autoRedefine/>
    <w:uiPriority w:val="99"/>
    <w:qFormat/>
    <w:rPr>
      <w:rFonts w:asciiTheme="minorHAnsi" w:hAnsiTheme="minorHAnsi"/>
      <w:sz w:val="22"/>
      <w:lang w:val="vi-VN"/>
    </w:rPr>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b/>
      <w:bCs/>
      <w:color w:val="4F81BD" w:themeColor="accent1"/>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autoRedefine/>
    <w:uiPriority w:val="22"/>
    <w:qFormat/>
    <w:rPr>
      <w:b/>
      <w:bCs/>
    </w:rPr>
  </w:style>
  <w:style w:type="table" w:styleId="TableGrid">
    <w:name w:val="Table Grid"/>
    <w:basedOn w:val="TableNormal"/>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autoRedefine/>
    <w:uiPriority w:val="9"/>
    <w:qFormat/>
    <w:rPr>
      <w:rFonts w:eastAsia="Times New Roman" w:cs="Times New Roman"/>
      <w:b/>
      <w:bCs/>
      <w:sz w:val="36"/>
      <w:szCs w:val="36"/>
    </w:rPr>
  </w:style>
  <w:style w:type="character" w:customStyle="1" w:styleId="HeaderChar">
    <w:name w:val="Header Char"/>
    <w:basedOn w:val="DefaultParagraphFont"/>
    <w:link w:val="Header"/>
    <w:autoRedefine/>
    <w:uiPriority w:val="99"/>
    <w:qFormat/>
    <w:rPr>
      <w:rFonts w:asciiTheme="minorHAnsi" w:hAnsiTheme="minorHAnsi"/>
      <w:sz w:val="22"/>
      <w:lang w:val="vi-VN"/>
    </w:rPr>
  </w:style>
  <w:style w:type="character" w:customStyle="1" w:styleId="FooterChar">
    <w:name w:val="Footer Char"/>
    <w:basedOn w:val="DefaultParagraphFont"/>
    <w:link w:val="Footer"/>
    <w:autoRedefine/>
    <w:uiPriority w:val="99"/>
    <w:qFormat/>
    <w:rPr>
      <w:rFonts w:asciiTheme="minorHAnsi" w:hAnsiTheme="minorHAnsi"/>
      <w:sz w:val="22"/>
      <w:lang w:val="vi-VN"/>
    </w:rPr>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b/>
      <w:bCs/>
      <w:color w:val="4F81BD" w:themeColor="accent1"/>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4071">
      <w:bodyDiv w:val="1"/>
      <w:marLeft w:val="0"/>
      <w:marRight w:val="0"/>
      <w:marTop w:val="0"/>
      <w:marBottom w:val="0"/>
      <w:divBdr>
        <w:top w:val="none" w:sz="0" w:space="0" w:color="auto"/>
        <w:left w:val="none" w:sz="0" w:space="0" w:color="auto"/>
        <w:bottom w:val="none" w:sz="0" w:space="0" w:color="auto"/>
        <w:right w:val="none" w:sz="0" w:space="0" w:color="auto"/>
      </w:divBdr>
      <w:divsChild>
        <w:div w:id="79300769">
          <w:marLeft w:val="0"/>
          <w:marRight w:val="0"/>
          <w:marTop w:val="0"/>
          <w:marBottom w:val="240"/>
          <w:divBdr>
            <w:top w:val="none" w:sz="0" w:space="0" w:color="auto"/>
            <w:left w:val="none" w:sz="0" w:space="0" w:color="auto"/>
            <w:bottom w:val="none" w:sz="0" w:space="0" w:color="auto"/>
            <w:right w:val="none" w:sz="0" w:space="0" w:color="auto"/>
          </w:divBdr>
        </w:div>
      </w:divsChild>
    </w:div>
    <w:div w:id="146735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luatvietnam.vn/giao-thong/nghi-dinh-34-2024-nd-cp-danh-muc-van-chuyen-hang-hoa-nguy-hiem-bang-phuong-tien-giao-thong-co-gioi-309573-d1.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E30C6-95DA-42EF-99C0-C9D2893F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2024-01-31T07:08:00Z</cp:lastPrinted>
  <dcterms:created xsi:type="dcterms:W3CDTF">2024-05-01T12:46:00Z</dcterms:created>
  <dcterms:modified xsi:type="dcterms:W3CDTF">2024-05-01T12:49:00Z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DD1CC930443C4A0BBB75E465AA0D0738_13</vt:lpwstr>
  </property>
</Properties>
</file>